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41249" w14:textId="77777777" w:rsidR="00907937" w:rsidRDefault="00907937">
      <w:pPr>
        <w:pStyle w:val="Standard"/>
        <w:jc w:val="both"/>
        <w:rPr>
          <w:rFonts w:ascii="Arial" w:hAnsi="Arial" w:cs="Arial"/>
          <w:b/>
          <w:bCs/>
          <w:sz w:val="28"/>
          <w:szCs w:val="28"/>
        </w:rPr>
      </w:pPr>
    </w:p>
    <w:p w14:paraId="0D0E5197" w14:textId="77777777" w:rsidR="00907937" w:rsidRDefault="00E039DA">
      <w:pPr>
        <w:pStyle w:val="Standard"/>
        <w:jc w:val="both"/>
      </w:pPr>
      <w:r>
        <w:rPr>
          <w:rFonts w:ascii="Arial" w:hAnsi="Arial" w:cs="Arial"/>
          <w:b/>
          <w:bCs/>
          <w:sz w:val="28"/>
          <w:szCs w:val="28"/>
        </w:rPr>
        <w:t>DATOS ESTADÍSTICOS SOBRE EL PORCENTAJE EN VOLUMEN PRESUPUESTARIO DE CONTRATOS ADJUDICADOS A TRAVÉS DE CADA UNO DE LOS PROCEDIMIENTOS PREVISTOS EN LA LEGISLACIÓN DE CONTRATOS DEL SECTOR PÚBLICO</w:t>
      </w:r>
    </w:p>
    <w:p w14:paraId="795CC3E0" w14:textId="77777777" w:rsidR="00907937" w:rsidRDefault="00907937">
      <w:pPr>
        <w:pStyle w:val="Standard"/>
        <w:jc w:val="both"/>
        <w:rPr>
          <w:rFonts w:ascii="Arial" w:hAnsi="Arial" w:cs="Arial"/>
        </w:rPr>
      </w:pPr>
    </w:p>
    <w:p w14:paraId="76D36727" w14:textId="77777777" w:rsidR="00907937" w:rsidRDefault="00907937">
      <w:pPr>
        <w:pStyle w:val="Standard"/>
        <w:jc w:val="both"/>
        <w:rPr>
          <w:rFonts w:ascii="Arial" w:hAnsi="Arial" w:cs="Arial"/>
          <w:b/>
          <w:bCs/>
        </w:rPr>
      </w:pPr>
    </w:p>
    <w:p w14:paraId="272929E6" w14:textId="77777777" w:rsidR="00907937" w:rsidRDefault="00907937">
      <w:pPr>
        <w:pStyle w:val="Standard"/>
        <w:jc w:val="both"/>
        <w:rPr>
          <w:rFonts w:ascii="Arial" w:hAnsi="Arial" w:cs="Arial"/>
          <w:b/>
          <w:bCs/>
        </w:rPr>
      </w:pPr>
    </w:p>
    <w:p w14:paraId="3B5214B7" w14:textId="097712EF" w:rsidR="008412D3" w:rsidRDefault="008412D3" w:rsidP="008412D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Los datos estadísticos sobre el porcentaje referido al volumen de contratos adjudicados e importes ejecutados correspondientes al primer semestre del ejercicio 202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5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 a través de cada uno de los procedimientos previstos en la legislación de contratos del Sector Público, se puede apreciar en los siguientes gráficos:</w:t>
      </w:r>
    </w:p>
    <w:p w14:paraId="1443514D" w14:textId="381E0768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30EFD8A" w14:textId="1FF9D887" w:rsidR="008412D3" w:rsidRDefault="008412D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4EF4707C" wp14:editId="6E8194AD">
            <wp:extent cx="5486400" cy="3200400"/>
            <wp:effectExtent l="0" t="0" r="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0453359" w14:textId="77777777" w:rsidR="008412D3" w:rsidRDefault="008412D3" w:rsidP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38FE3AE" w14:textId="77777777" w:rsidR="008412D3" w:rsidRDefault="008412D3" w:rsidP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09E132B" w14:textId="77777777" w:rsidR="008412D3" w:rsidRDefault="008412D3" w:rsidP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84FEEFD" w14:textId="121E548B" w:rsidR="001F2883" w:rsidRDefault="001F2883" w:rsidP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Los datos estadísticos sobre el porcentaje referido al volumen de contratos adjudicados e importes ejecutados correspondientes al primer semestre del ejercicio 2024, a través de cada uno de los procedimientos previstos en la legislación de contratos del Sector Público, se puede apreciar en los siguientes gráficos:</w:t>
      </w:r>
    </w:p>
    <w:p w14:paraId="2758FC2A" w14:textId="1BCEAE41" w:rsidR="001F2883" w:rsidRDefault="001F2883" w:rsidP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2FFA2AB" w14:textId="77777777" w:rsidR="001F2883" w:rsidRDefault="001F2883" w:rsidP="001F2883">
      <w:pPr>
        <w:pStyle w:val="standard0"/>
        <w:spacing w:before="0"/>
        <w:jc w:val="both"/>
      </w:pPr>
    </w:p>
    <w:p w14:paraId="35FAA3BF" w14:textId="17347904" w:rsidR="001F2883" w:rsidRDefault="001F2883" w:rsidP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noProof/>
          <w:color w:val="000000"/>
          <w:sz w:val="22"/>
          <w:szCs w:val="22"/>
          <w:shd w:val="clear" w:color="auto" w:fill="FFFFFF"/>
        </w:rPr>
        <w:lastRenderedPageBreak/>
        <w:drawing>
          <wp:anchor distT="0" distB="0" distL="114300" distR="114300" simplePos="0" relativeHeight="251660288" behindDoc="1" locked="0" layoutInCell="1" allowOverlap="1" wp14:anchorId="4B8367A5" wp14:editId="6D8EB7F7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734050" cy="2948940"/>
            <wp:effectExtent l="0" t="0" r="0" b="3810"/>
            <wp:wrapTight wrapText="bothSides">
              <wp:wrapPolygon edited="0">
                <wp:start x="0" y="0"/>
                <wp:lineTo x="0" y="21488"/>
                <wp:lineTo x="21528" y="21488"/>
                <wp:lineTo x="21528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89759" w14:textId="77777777" w:rsidR="001F2883" w:rsidRDefault="001F2883" w:rsidP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76C047A" w14:textId="77777777" w:rsidR="001F2883" w:rsidRDefault="001F2883" w:rsidP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5F4BCC0" w14:textId="77777777" w:rsidR="001F2883" w:rsidRDefault="001F2883" w:rsidP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71A8A05" w14:textId="7E13065E" w:rsidR="001F2883" w:rsidRDefault="001F2883" w:rsidP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Los datos estadísticos sobre el porcentaje referido al volumen de contratos adjudicados e importes ejecutados correspondientes al ejercicio 2024, a través de cada uno de los procedimientos previstos en la legislación de contratos del Sector Público, se puede apreciar en los siguientes gráficos:</w:t>
      </w:r>
      <w:r>
        <w:rPr>
          <w:color w:val="212529"/>
          <w:sz w:val="21"/>
          <w:szCs w:val="21"/>
        </w:rPr>
        <w:br/>
      </w:r>
    </w:p>
    <w:p w14:paraId="2282905D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946EF48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D3CA504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2FCE89B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E1C0024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9DD628E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BF0ED6C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139113A" w14:textId="03995224" w:rsidR="00907937" w:rsidRDefault="00E039DA">
      <w:pPr>
        <w:pStyle w:val="standard0"/>
        <w:spacing w:before="0"/>
        <w:jc w:val="both"/>
      </w:pPr>
      <w:r>
        <w:rPr>
          <w:rFonts w:ascii="Arial" w:eastAsia="SimSun" w:hAnsi="Arial" w:cs="Arial"/>
          <w:b/>
          <w:bCs/>
          <w:noProof/>
          <w:kern w:val="3"/>
          <w:sz w:val="22"/>
          <w:szCs w:val="22"/>
          <w:lang w:eastAsia="zh-CN" w:bidi="hi-IN"/>
        </w:rPr>
        <w:lastRenderedPageBreak/>
        <w:drawing>
          <wp:anchor distT="0" distB="0" distL="114300" distR="114300" simplePos="0" relativeHeight="251658240" behindDoc="0" locked="0" layoutInCell="1" allowOverlap="1" wp14:anchorId="5280C6BB" wp14:editId="3154E168">
            <wp:simplePos x="0" y="0"/>
            <wp:positionH relativeFrom="margin">
              <wp:align>center</wp:align>
            </wp:positionH>
            <wp:positionV relativeFrom="paragraph">
              <wp:posOffset>910586</wp:posOffset>
            </wp:positionV>
            <wp:extent cx="5495928" cy="3209928"/>
            <wp:effectExtent l="0" t="0" r="9522" b="9522"/>
            <wp:wrapTight wrapText="bothSides">
              <wp:wrapPolygon edited="0">
                <wp:start x="0" y="0"/>
                <wp:lineTo x="0" y="21536"/>
                <wp:lineTo x="21488" y="21536"/>
                <wp:lineTo x="21488" y="0"/>
                <wp:lineTo x="0" y="0"/>
              </wp:wrapPolygon>
            </wp:wrapTight>
            <wp:docPr id="3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5928" cy="32099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Los datos estadísticos sobre el porcentaje referido al volumen de contratos adjudicados e importes ejecutados correspondientes al primer semestre del ejercicio 2023, a través de cada uno de los procedimientos previstos en la legislación de contratos del Sector Público, se puede apreciar en los siguientes gráficos:</w:t>
      </w:r>
    </w:p>
    <w:p w14:paraId="3556D283" w14:textId="77777777" w:rsidR="00907937" w:rsidRDefault="00907937">
      <w:pPr>
        <w:pStyle w:val="standard0"/>
        <w:spacing w:before="0"/>
        <w:jc w:val="both"/>
        <w:rPr>
          <w:color w:val="212529"/>
          <w:sz w:val="21"/>
          <w:szCs w:val="21"/>
        </w:rPr>
      </w:pPr>
    </w:p>
    <w:p w14:paraId="0BD96DCD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2678BAF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BD88309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0F99DE2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90ADCCD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5156305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47E1EF2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60E7340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F81C46F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B9CEEDF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2B3C962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650F84A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7BD7528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87C21D6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EFED246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A76D555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A830AD5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ED6A98E" w14:textId="3E18D9D4" w:rsidR="00907937" w:rsidRDefault="00E039DA">
      <w:pPr>
        <w:pStyle w:val="standard0"/>
        <w:spacing w:before="0"/>
        <w:jc w:val="both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Los datos estadísticos sobre el porcentaje referido al volumen de contratos adjudicados e importes ejecutados correspondientes al ejercicio 202</w:t>
      </w:r>
      <w:r w:rsidR="001F2883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 través de cada uno de los procedimientos previstos en la legislación de contratos del Sector Público, se puede apreciar en los siguientes gráficos:</w:t>
      </w:r>
      <w:r>
        <w:rPr>
          <w:color w:val="212529"/>
          <w:sz w:val="21"/>
          <w:szCs w:val="21"/>
        </w:rPr>
        <w:br/>
      </w:r>
      <w:r>
        <w:rPr>
          <w:color w:val="212529"/>
          <w:sz w:val="21"/>
          <w:szCs w:val="21"/>
        </w:rPr>
        <w:br/>
      </w:r>
    </w:p>
    <w:p w14:paraId="6C338EBD" w14:textId="77777777" w:rsidR="00907937" w:rsidRDefault="00E039DA">
      <w:pPr>
        <w:pStyle w:val="standard0"/>
        <w:spacing w:before="0"/>
        <w:jc w:val="both"/>
      </w:pPr>
      <w:r>
        <w:rPr>
          <w:rFonts w:ascii="Arial" w:eastAsia="SimSun" w:hAnsi="Arial" w:cs="Arial"/>
          <w:b/>
          <w:bCs/>
          <w:noProof/>
          <w:kern w:val="3"/>
          <w:sz w:val="22"/>
          <w:szCs w:val="22"/>
          <w:lang w:eastAsia="zh-CN" w:bidi="hi-IN"/>
        </w:rPr>
        <w:lastRenderedPageBreak/>
        <w:drawing>
          <wp:anchor distT="0" distB="0" distL="114300" distR="114300" simplePos="0" relativeHeight="251659264" behindDoc="0" locked="0" layoutInCell="1" allowOverlap="1" wp14:anchorId="205814B8" wp14:editId="6E1FAAB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495928" cy="3209928"/>
            <wp:effectExtent l="0" t="0" r="9522" b="9522"/>
            <wp:wrapTight wrapText="bothSides">
              <wp:wrapPolygon edited="0">
                <wp:start x="0" y="0"/>
                <wp:lineTo x="0" y="21536"/>
                <wp:lineTo x="21488" y="21536"/>
                <wp:lineTo x="21488" y="0"/>
                <wp:lineTo x="0" y="0"/>
              </wp:wrapPolygon>
            </wp:wrapTight>
            <wp:docPr id="4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5928" cy="32099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3ADCE99" w14:textId="77777777" w:rsidR="001F2883" w:rsidRDefault="00E039DA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color w:val="212529"/>
          <w:sz w:val="21"/>
          <w:szCs w:val="21"/>
        </w:rPr>
        <w:br/>
      </w:r>
    </w:p>
    <w:p w14:paraId="58FD28CA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E7D9DAD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F859DFF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CD9A13B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D3CF6B1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1EA3384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0360ACB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C1A14F7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13A44FA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BAAF447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06CF28D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74FE0C8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B024308" w14:textId="77777777" w:rsidR="001F2883" w:rsidRDefault="001F2883">
      <w:pPr>
        <w:pStyle w:val="standard0"/>
        <w:spacing w:befor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0F7E6EB" w14:textId="3E6F32F2" w:rsidR="00907937" w:rsidRDefault="00E039DA">
      <w:pPr>
        <w:pStyle w:val="standard0"/>
        <w:spacing w:before="0"/>
        <w:jc w:val="both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Si se desea ampliar la información, la misma se encuentra contenida en las publicaciones establecidas a tal efecto, en el inicio de este punto de Contratos y en perfil del contratante alojado en la </w:t>
      </w:r>
      <w:hyperlink r:id="rId10" w:history="1">
        <w:r>
          <w:rPr>
            <w:rStyle w:val="Hipervnculo"/>
            <w:rFonts w:ascii="Arial" w:hAnsi="Arial" w:cs="Arial"/>
            <w:color w:val="D1111C"/>
            <w:sz w:val="22"/>
            <w:szCs w:val="22"/>
          </w:rPr>
          <w:t>Plataforma de Contratación del Sector Público.</w:t>
        </w:r>
      </w:hyperlink>
    </w:p>
    <w:p w14:paraId="11627B66" w14:textId="77777777" w:rsidR="00907937" w:rsidRDefault="00907937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A24AA1C" w14:textId="77777777" w:rsidR="00907937" w:rsidRDefault="00907937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B9EB489" w14:textId="77777777" w:rsidR="00907937" w:rsidRDefault="00E039DA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07937">
      <w:headerReference w:type="default" r:id="rId11"/>
      <w:footerReference w:type="default" r:id="rId12"/>
      <w:pgSz w:w="11906" w:h="16838"/>
      <w:pgMar w:top="1701" w:right="1134" w:bottom="1134" w:left="1134" w:header="72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98457" w14:textId="77777777" w:rsidR="00D161EF" w:rsidRDefault="00D161EF">
      <w:r>
        <w:separator/>
      </w:r>
    </w:p>
  </w:endnote>
  <w:endnote w:type="continuationSeparator" w:id="0">
    <w:p w14:paraId="1E0C2B79" w14:textId="77777777" w:rsidR="00D161EF" w:rsidRDefault="00D16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855"/>
      <w:gridCol w:w="2855"/>
      <w:gridCol w:w="2856"/>
    </w:tblGrid>
    <w:tr w:rsidR="004D684B" w14:paraId="7F393166" w14:textId="77777777"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9F0012E" w14:textId="77777777" w:rsidR="004D684B" w:rsidRDefault="00E039DA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Avenida Primero de Mayo,12 3º Derecha</w:t>
          </w:r>
        </w:p>
        <w:p w14:paraId="776A1674" w14:textId="77777777" w:rsidR="004D684B" w:rsidRDefault="00E039DA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35002 Las Palmas de Gran Canaria</w:t>
          </w:r>
        </w:p>
        <w:p w14:paraId="3BEC4AB0" w14:textId="77777777" w:rsidR="004D684B" w:rsidRDefault="00E039DA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2FA272A" w14:textId="77777777" w:rsidR="004D684B" w:rsidRDefault="00E039DA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CIF.: G35657048</w:t>
          </w:r>
        </w:p>
        <w:p w14:paraId="01BD5F50" w14:textId="77777777" w:rsidR="004D684B" w:rsidRDefault="00E039DA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Inscrita en el Registro de Fundaciones Canarias con el número 150</w:t>
          </w:r>
        </w:p>
        <w:p w14:paraId="58FE26A6" w14:textId="77777777" w:rsidR="004D684B" w:rsidRDefault="00E039DA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91D9D0E" w14:textId="77777777" w:rsidR="004D684B" w:rsidRDefault="00E039DA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Ctra. Subida El Mayorazgo 3, 2ª/4ª</w:t>
          </w:r>
        </w:p>
        <w:p w14:paraId="701ED808" w14:textId="77777777" w:rsidR="004D684B" w:rsidRDefault="00E039DA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38110 Santa Cruz de Tenerife</w:t>
          </w:r>
        </w:p>
        <w:p w14:paraId="6A52A2B7" w14:textId="77777777" w:rsidR="004D684B" w:rsidRDefault="00E039DA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922 63 06 90 | Fax.  922 63 07 06</w:t>
          </w:r>
        </w:p>
      </w:tc>
    </w:tr>
  </w:tbl>
  <w:p w14:paraId="50291DF9" w14:textId="77777777" w:rsidR="004D684B" w:rsidRDefault="00E039DA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546FC67A" w14:textId="77777777" w:rsidR="004D684B" w:rsidRDefault="00D161EF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C3B05" w14:textId="77777777" w:rsidR="00D161EF" w:rsidRDefault="00D161EF">
      <w:r>
        <w:rPr>
          <w:color w:val="000000"/>
        </w:rPr>
        <w:separator/>
      </w:r>
    </w:p>
  </w:footnote>
  <w:footnote w:type="continuationSeparator" w:id="0">
    <w:p w14:paraId="56967E0A" w14:textId="77777777" w:rsidR="00D161EF" w:rsidRDefault="00D16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2F40C" w14:textId="77777777" w:rsidR="004D684B" w:rsidRDefault="00E039DA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634FFE" wp14:editId="5100A235">
              <wp:simplePos x="0" y="0"/>
              <wp:positionH relativeFrom="column">
                <wp:posOffset>4225286</wp:posOffset>
              </wp:positionH>
              <wp:positionV relativeFrom="paragraph">
                <wp:posOffset>-281936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11B42F5" w14:textId="77777777" w:rsidR="004D684B" w:rsidRDefault="00E039D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DOCUMENTO EXTERNO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34FF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211B42F5" w14:textId="77777777" w:rsidR="004D684B" w:rsidRDefault="00E039DA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DOCUMENTO EXTERNO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205BAA6A" wp14:editId="77A57235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937"/>
    <w:rsid w:val="001F2883"/>
    <w:rsid w:val="004B65F3"/>
    <w:rsid w:val="008412D3"/>
    <w:rsid w:val="00907937"/>
    <w:rsid w:val="00D161EF"/>
    <w:rsid w:val="00E0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2F28E"/>
  <w15:docId w15:val="{1B2B71D7-CB7B-4FCE-B6D9-27755579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paragraph" w:customStyle="1" w:styleId="standard0">
    <w:name w:val="standard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es-ES" w:bidi="ar-SA"/>
    </w:rPr>
  </w:style>
  <w:style w:type="character" w:styleId="Hipervnculo">
    <w:name w:val="Hyperlink"/>
    <w:basedOn w:val="Fuentedeprrafopredeter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contrataciondelestado.es/wps/poc?uri=deeplink%3AperfilContratante&amp;idBp=FbTuAztve89vYnTkQN0%2FZA%3D%3D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nrol\Desktop\conrtatos%20transparencia\DOCUMENTO%20EXTERNO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2025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117-4457-B22C-12842D68B3B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117-4457-B22C-12842D68B3B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117-4457-B22C-12842D68B3BE}"/>
              </c:ext>
            </c:extLst>
          </c:dPt>
          <c:cat>
            <c:strRef>
              <c:f>Hoja1!$A$2:$A$4</c:f>
              <c:strCache>
                <c:ptCount val="3"/>
                <c:pt idx="0">
                  <c:v>Abierto (98,28 %)</c:v>
                </c:pt>
                <c:pt idx="1">
                  <c:v>Negociados (0%)</c:v>
                </c:pt>
                <c:pt idx="2">
                  <c:v>Abierto simplificado (1,2%)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5350350.3600000003</c:v>
                </c:pt>
                <c:pt idx="1">
                  <c:v>0</c:v>
                </c:pt>
                <c:pt idx="2">
                  <c:v>93570.09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19-4105-B0AB-40652167BB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 EXTERNO</Template>
  <TotalTime>6</TotalTime>
  <Pages>4</Pages>
  <Words>340</Words>
  <Characters>1871</Characters>
  <Application>Microsoft Office Word</Application>
  <DocSecurity>0</DocSecurity>
  <Lines>15</Lines>
  <Paragraphs>4</Paragraphs>
  <ScaleCrop>false</ScaleCrop>
  <Company>Fundacion Canaria de Juventud IDEO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3</cp:revision>
  <cp:lastPrinted>2025-04-08T11:30:00Z</cp:lastPrinted>
  <dcterms:created xsi:type="dcterms:W3CDTF">2025-04-08T11:31:00Z</dcterms:created>
  <dcterms:modified xsi:type="dcterms:W3CDTF">2026-06-22T10:00:00Z</dcterms:modified>
</cp:coreProperties>
</file>