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4A35" w14:textId="77777777" w:rsidR="0074320C" w:rsidRDefault="00C174CC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COMPOSICIÓN DEL PATRONATO</w:t>
      </w:r>
    </w:p>
    <w:p w14:paraId="2586BABB" w14:textId="77777777" w:rsidR="0074320C" w:rsidRDefault="0074320C">
      <w:pPr>
        <w:pStyle w:val="Standard"/>
        <w:jc w:val="both"/>
        <w:rPr>
          <w:rFonts w:ascii="Arial" w:hAnsi="Arial" w:cs="Arial"/>
        </w:rPr>
      </w:pPr>
    </w:p>
    <w:p w14:paraId="3CB66BEE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La composición del patronato está recogida en los estatutos de la Fundación:</w:t>
      </w:r>
    </w:p>
    <w:p w14:paraId="3D5754B0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El Patronato, es el órgano supremo de la Fundación, representa la voluntad fundacional y está constituido por:</w:t>
      </w:r>
    </w:p>
    <w:p w14:paraId="5A58CBDD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– El/La </w:t>
      </w:r>
      <w:proofErr w:type="gramStart"/>
      <w:r>
        <w:rPr>
          <w:rFonts w:ascii="Arial" w:hAnsi="Arial" w:cs="Arial"/>
          <w:color w:val="212529"/>
          <w:sz w:val="22"/>
          <w:szCs w:val="22"/>
        </w:rPr>
        <w:t>Consejero</w:t>
      </w:r>
      <w:proofErr w:type="gramEnd"/>
      <w:r>
        <w:rPr>
          <w:rFonts w:ascii="Arial" w:hAnsi="Arial" w:cs="Arial"/>
          <w:color w:val="212529"/>
          <w:sz w:val="22"/>
          <w:szCs w:val="22"/>
        </w:rPr>
        <w:t>/a competente en materia de Políticas Sociales o persona en quien delegue, que ostentará la presidencia del Patronato.</w:t>
      </w:r>
    </w:p>
    <w:p w14:paraId="1B91B4A7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– El/La Viceconsejero/a competente en materia de Políticas Sociales o persona en quien delegue, que ostentará la vicepresidencia</w:t>
      </w:r>
      <w:r>
        <w:rPr>
          <w:rFonts w:ascii="Arial" w:hAnsi="Arial" w:cs="Arial"/>
          <w:color w:val="212529"/>
          <w:sz w:val="22"/>
          <w:szCs w:val="22"/>
        </w:rPr>
        <w:t xml:space="preserve"> del Patronato.</w:t>
      </w:r>
    </w:p>
    <w:p w14:paraId="3FCC3C91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– El </w:t>
      </w:r>
      <w:proofErr w:type="gramStart"/>
      <w:r>
        <w:rPr>
          <w:rFonts w:ascii="Arial" w:hAnsi="Arial" w:cs="Arial"/>
          <w:color w:val="212529"/>
          <w:sz w:val="22"/>
          <w:szCs w:val="22"/>
        </w:rPr>
        <w:t>Director</w:t>
      </w:r>
      <w:proofErr w:type="gramEnd"/>
      <w:r>
        <w:rPr>
          <w:rFonts w:ascii="Arial" w:hAnsi="Arial" w:cs="Arial"/>
          <w:color w:val="212529"/>
          <w:sz w:val="22"/>
          <w:szCs w:val="22"/>
        </w:rPr>
        <w:t>/a General de Juventud, como Vocal.</w:t>
      </w:r>
    </w:p>
    <w:p w14:paraId="193C4E9C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– El </w:t>
      </w:r>
      <w:proofErr w:type="gramStart"/>
      <w:r>
        <w:rPr>
          <w:rFonts w:ascii="Arial" w:hAnsi="Arial" w:cs="Arial"/>
          <w:color w:val="212529"/>
          <w:sz w:val="22"/>
          <w:szCs w:val="22"/>
        </w:rPr>
        <w:t>Director</w:t>
      </w:r>
      <w:proofErr w:type="gramEnd"/>
      <w:r>
        <w:rPr>
          <w:rFonts w:ascii="Arial" w:hAnsi="Arial" w:cs="Arial"/>
          <w:color w:val="212529"/>
          <w:sz w:val="22"/>
          <w:szCs w:val="22"/>
        </w:rPr>
        <w:t>/a General de Protección a la infancia y a la familia, como Vocal.</w:t>
      </w:r>
    </w:p>
    <w:p w14:paraId="39A07889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Actuará como </w:t>
      </w:r>
      <w:proofErr w:type="gramStart"/>
      <w:r>
        <w:rPr>
          <w:rFonts w:ascii="Arial" w:hAnsi="Arial" w:cs="Arial"/>
          <w:color w:val="212529"/>
          <w:sz w:val="22"/>
          <w:szCs w:val="22"/>
        </w:rPr>
        <w:t>Secretario</w:t>
      </w:r>
      <w:proofErr w:type="gramEnd"/>
      <w:r>
        <w:rPr>
          <w:rFonts w:ascii="Arial" w:hAnsi="Arial" w:cs="Arial"/>
          <w:color w:val="212529"/>
          <w:sz w:val="22"/>
          <w:szCs w:val="22"/>
        </w:rPr>
        <w:t xml:space="preserve">/a del Patronato, con voz, pero sin voto, un funcionario/a, al servicio de la Dirección </w:t>
      </w:r>
      <w:r>
        <w:rPr>
          <w:rFonts w:ascii="Arial" w:hAnsi="Arial" w:cs="Arial"/>
          <w:color w:val="212529"/>
          <w:sz w:val="22"/>
          <w:szCs w:val="22"/>
        </w:rPr>
        <w:t>General competente en materia de Políticas Sociales, designado/a por el titular de la misma.</w:t>
      </w:r>
    </w:p>
    <w:p w14:paraId="5C3CECA5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Para iniciar el ejercicio de sus funciones, los patronos habrán de aceptar expresamente su cargo. Dicha aceptación deberá hacerse constar en documento público, en </w:t>
      </w:r>
      <w:r>
        <w:rPr>
          <w:rFonts w:ascii="Arial" w:hAnsi="Arial" w:cs="Arial"/>
          <w:color w:val="212529"/>
          <w:sz w:val="22"/>
          <w:szCs w:val="22"/>
        </w:rPr>
        <w:t xml:space="preserve">documento privado con firma legitimada por notario o mediante comparecencia en el Registro de Fundaciones de Canarias. Será válida la aceptación acreditada mediante certificación del secretario del órgano de gobierno con el visto bueno del presidente y la </w:t>
      </w:r>
      <w:r>
        <w:rPr>
          <w:rFonts w:ascii="Arial" w:hAnsi="Arial" w:cs="Arial"/>
          <w:color w:val="212529"/>
          <w:sz w:val="22"/>
          <w:szCs w:val="22"/>
        </w:rPr>
        <w:t>firma notarialmente legitimada de ambos.</w:t>
      </w:r>
    </w:p>
    <w:p w14:paraId="284F5DB8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En todo caso, la aceptación de los patronos deberá constar en el Registro de Fundaciones de Canarias.</w:t>
      </w:r>
    </w:p>
    <w:p w14:paraId="07CB2547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Los miembros del Patronato podrán designar suplentes.</w:t>
      </w:r>
    </w:p>
    <w:p w14:paraId="1761C892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Los miembros del Patronato actuarán al servicio de la Funda</w:t>
      </w:r>
      <w:r>
        <w:rPr>
          <w:rFonts w:ascii="Arial" w:hAnsi="Arial" w:cs="Arial"/>
          <w:color w:val="212529"/>
          <w:sz w:val="22"/>
          <w:szCs w:val="22"/>
        </w:rPr>
        <w:t>ción libremente y bajo su exclusiva responsabilidad, cualquiera que sea el origen de su nombramiento.</w:t>
      </w:r>
    </w:p>
    <w:p w14:paraId="1D585039" w14:textId="77777777" w:rsidR="0074320C" w:rsidRDefault="00C174CC">
      <w:pPr>
        <w:pStyle w:val="card-text"/>
        <w:spacing w:before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El cargo de miembro del Patronato de la Fundación estará condicionado a que el patrono conserve la condición determinante de su designación, sin limitació</w:t>
      </w:r>
      <w:r>
        <w:rPr>
          <w:rFonts w:ascii="Arial" w:hAnsi="Arial" w:cs="Arial"/>
          <w:color w:val="212529"/>
          <w:sz w:val="22"/>
          <w:szCs w:val="22"/>
        </w:rPr>
        <w:t>n alguna en el tiempo.</w:t>
      </w:r>
    </w:p>
    <w:p w14:paraId="600A639C" w14:textId="77777777" w:rsidR="0074320C" w:rsidRDefault="00C174CC">
      <w:pPr>
        <w:pStyle w:val="card-text"/>
        <w:spacing w:before="0" w:after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En caso de supresión o modificación del órgano a cuya titularidad se vincula la condición de patrono, tendrá esta consideración el titular del órgano que asuma las funciones del que se suprima o modifique.</w:t>
      </w:r>
    </w:p>
    <w:p w14:paraId="099C4DC3" w14:textId="77777777" w:rsidR="0074320C" w:rsidRDefault="0074320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C5FEF81" w14:textId="77777777" w:rsidR="0074320C" w:rsidRDefault="0074320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7741483" w14:textId="77777777" w:rsidR="0074320C" w:rsidRDefault="0074320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B43A79A" w14:textId="77777777" w:rsidR="0074320C" w:rsidRDefault="0074320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8199C2" w14:textId="77777777" w:rsidR="0074320C" w:rsidRDefault="0074320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FF48702" w14:textId="77777777" w:rsidR="0074320C" w:rsidRDefault="0074320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2EC4844" w14:textId="77777777" w:rsidR="0074320C" w:rsidRDefault="0074320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D9D5250" w14:textId="77777777" w:rsidR="0074320C" w:rsidRDefault="0074320C">
      <w:pPr>
        <w:pStyle w:val="Standard"/>
      </w:pPr>
    </w:p>
    <w:p w14:paraId="376B9956" w14:textId="77777777" w:rsidR="0074320C" w:rsidRDefault="0074320C">
      <w:pPr>
        <w:tabs>
          <w:tab w:val="left" w:pos="924"/>
        </w:tabs>
      </w:pPr>
    </w:p>
    <w:sectPr w:rsidR="0074320C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7DD3" w14:textId="77777777" w:rsidR="00C174CC" w:rsidRDefault="00C174CC">
      <w:r>
        <w:separator/>
      </w:r>
    </w:p>
  </w:endnote>
  <w:endnote w:type="continuationSeparator" w:id="0">
    <w:p w14:paraId="5459CFCC" w14:textId="77777777" w:rsidR="00C174CC" w:rsidRDefault="00C1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3106CC" w14:paraId="78A7AE4C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AC4879" w14:textId="77777777" w:rsidR="003106CC" w:rsidRDefault="00C174CC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34653721" w14:textId="77777777" w:rsidR="003106CC" w:rsidRDefault="00C174CC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2A00B96B" w14:textId="77777777" w:rsidR="003106CC" w:rsidRDefault="00C174CC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8D5FBD5" w14:textId="77777777" w:rsidR="003106CC" w:rsidRDefault="00C174CC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442B22E6" w14:textId="77777777" w:rsidR="003106CC" w:rsidRDefault="00C174CC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45E6A998" w14:textId="77777777" w:rsidR="003106CC" w:rsidRDefault="00C174CC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D051678" w14:textId="77777777" w:rsidR="003106CC" w:rsidRDefault="00C174CC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073BC2CD" w14:textId="77777777" w:rsidR="003106CC" w:rsidRDefault="00C174CC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1AACF7B6" w14:textId="77777777" w:rsidR="003106CC" w:rsidRDefault="00C174CC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3D687C1" w14:textId="77777777" w:rsidR="003106CC" w:rsidRDefault="00C174CC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6822D18D" w14:textId="77777777" w:rsidR="003106CC" w:rsidRDefault="00C174CC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6F51" w14:textId="77777777" w:rsidR="00C174CC" w:rsidRDefault="00C174CC">
      <w:r>
        <w:rPr>
          <w:color w:val="000000"/>
        </w:rPr>
        <w:separator/>
      </w:r>
    </w:p>
  </w:footnote>
  <w:footnote w:type="continuationSeparator" w:id="0">
    <w:p w14:paraId="200450C1" w14:textId="77777777" w:rsidR="00C174CC" w:rsidRDefault="00C1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619B" w14:textId="77777777" w:rsidR="003106CC" w:rsidRDefault="00C174CC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871FD" wp14:editId="5459CCDA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9C404CF" w14:textId="77777777" w:rsidR="003106CC" w:rsidRDefault="00C174C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871F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09C404CF" w14:textId="77777777" w:rsidR="003106CC" w:rsidRDefault="00C174CC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414AE26" wp14:editId="7869B14E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320C"/>
    <w:rsid w:val="0074320C"/>
    <w:rsid w:val="009E6C6B"/>
    <w:rsid w:val="00C174CC"/>
    <w:rsid w:val="00D5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6D27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card-text">
    <w:name w:val="card-text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2</TotalTime>
  <Pages>1</Pages>
  <Words>307</Words>
  <Characters>1690</Characters>
  <Application>Microsoft Office Word</Application>
  <DocSecurity>0</DocSecurity>
  <Lines>14</Lines>
  <Paragraphs>3</Paragraphs>
  <ScaleCrop>false</ScaleCrop>
  <Company>Fundacion Canaria de Juventud IDEO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3</cp:revision>
  <cp:lastPrinted>2023-10-26T07:28:00Z</cp:lastPrinted>
  <dcterms:created xsi:type="dcterms:W3CDTF">2023-10-26T07:28:00Z</dcterms:created>
  <dcterms:modified xsi:type="dcterms:W3CDTF">2023-10-26T07:29:00Z</dcterms:modified>
</cp:coreProperties>
</file>