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4"/>
          <w:szCs w:val="44"/>
          <w:lang w:val="es-ES"/>
        </w:rPr>
        <w:t>CONTRATOS</w:t>
      </w:r>
      <w:r>
        <w:rPr>
          <w:rFonts w:hint="default"/>
          <w:b/>
          <w:bCs/>
          <w:sz w:val="40"/>
          <w:szCs w:val="40"/>
          <w:lang w:val="es-ES"/>
        </w:rPr>
        <w:br w:type="textWrapping"/>
      </w:r>
      <w:r>
        <w:rPr>
          <w:rFonts w:hint="default"/>
          <w:b/>
          <w:bCs/>
          <w:sz w:val="28"/>
          <w:szCs w:val="28"/>
          <w:lang w:val="es-ES"/>
        </w:rPr>
        <w:t>CONTRATOS PROGRAMADOS</w:t>
      </w:r>
    </w:p>
    <w:p>
      <w:pPr>
        <w:rPr>
          <w:rFonts w:hint="default"/>
          <w:b/>
          <w:bCs/>
          <w:lang w:val="es-ES"/>
        </w:rPr>
      </w:pPr>
    </w:p>
    <w:p>
      <w:pPr>
        <w:jc w:val="both"/>
        <w:rPr>
          <w:rFonts w:hint="default"/>
        </w:rPr>
      </w:pPr>
      <w:bookmarkStart w:id="0" w:name="_GoBack"/>
      <w:r>
        <w:rPr>
          <w:rFonts w:hint="default"/>
        </w:rPr>
        <w:t>La contratación programada, dado que inicialmente no han surgido nuevas necesidades a tal fin, coinciden con los vencimientos y renovación de los contratos actualmente en marcha.</w:t>
      </w:r>
    </w:p>
    <w:p>
      <w:pPr>
        <w:jc w:val="both"/>
        <w:rPr>
          <w:rFonts w:hint="default"/>
        </w:rPr>
      </w:pPr>
    </w:p>
    <w:p>
      <w:pPr>
        <w:jc w:val="both"/>
      </w:pPr>
      <w:r>
        <w:rPr>
          <w:rFonts w:hint="default"/>
        </w:rPr>
        <w:t>En el caso de que se precise formalizar nuevos contratos, se sigue la normativa de contratación pública. En tal sentido, hay que indicar que se puede acceder a la información en el Perfil del Contratante en la Plataforma de Contratación del Sector Público.</w:t>
      </w:r>
    </w:p>
    <w:bookmarkEnd w:id="0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605C41"/>
    <w:rsid w:val="00641B8D"/>
    <w:rsid w:val="00651A95"/>
    <w:rsid w:val="006D6964"/>
    <w:rsid w:val="006E11C6"/>
    <w:rsid w:val="007479BF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67573"/>
    <w:rsid w:val="00CC1A11"/>
    <w:rsid w:val="00CD52EE"/>
    <w:rsid w:val="00D40B89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241F3597"/>
    <w:rsid w:val="3DC5031B"/>
    <w:rsid w:val="47D2735C"/>
    <w:rsid w:val="60F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6">
    <w:name w:val="Table Grid"/>
    <w:basedOn w:val="7"/>
    <w:uiPriority w:val="39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Encabezado Car"/>
    <w:basedOn w:val="6"/>
    <w:link w:val="13"/>
    <w:qFormat/>
    <w:uiPriority w:val="99"/>
  </w:style>
  <w:style w:type="character" w:customStyle="1" w:styleId="18">
    <w:name w:val="Pie de página Car"/>
    <w:basedOn w:val="6"/>
    <w:link w:val="15"/>
    <w:qFormat/>
    <w:uiPriority w:val="99"/>
  </w:style>
  <w:style w:type="character" w:customStyle="1" w:styleId="19">
    <w:name w:val="Texto nota pie Car"/>
    <w:basedOn w:val="6"/>
    <w:link w:val="11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sangrado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2">
    <w:name w:val="Título 1 C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Título 2 C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Título 3 C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5">
    <w:name w:val="Título 4 C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7">
    <w:name w:val="A1"/>
    <w:qFormat/>
    <w:uiPriority w:val="99"/>
    <w:rPr>
      <w:rFonts w:cs="Poppins"/>
      <w:color w:val="000000"/>
      <w:sz w:val="18"/>
      <w:szCs w:val="18"/>
    </w:rPr>
  </w:style>
  <w:style w:type="paragraph" w:customStyle="1" w:styleId="28">
    <w:name w:val="Standard"/>
    <w:qFormat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9">
    <w:name w:val="Text body"/>
    <w:basedOn w:val="28"/>
    <w:qFormat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30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305</Characters>
  <Lines>2</Lines>
  <Paragraphs>1</Paragraphs>
  <TotalTime>23</TotalTime>
  <ScaleCrop>false</ScaleCrop>
  <LinksUpToDate>false</LinksUpToDate>
  <CharactersWithSpaces>359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2022-06-24T12:39:00Z</dcterms:created>
  <dc:creator>Adjomar González Pérez</dc:creator>
  <cp:lastModifiedBy>nacosmar</cp:lastModifiedBy>
  <dcterms:modified xsi:type="dcterms:W3CDTF">2022-07-13T12:10:09Z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A72804F052E54C6090597A508E6C100F</vt:lpwstr>
  </property>
</Properties>
</file>